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94A7" w14:textId="77777777" w:rsidR="00BC52D3" w:rsidRDefault="00BC52D3" w:rsidP="00AA56D2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El contribuyente promedio trabajó en el 2018 135 días del año solo para pagar impuestos y contribuaciones al estado.</w:t>
      </w:r>
    </w:p>
    <w:p w14:paraId="161C4772" w14:textId="3EBFD69F" w:rsidR="0089491F" w:rsidRPr="00BC52D3" w:rsidRDefault="00C77983" w:rsidP="00BC52D3">
      <w:pPr>
        <w:jc w:val="center"/>
        <w:rPr>
          <w:rFonts w:ascii="Century Gothic" w:hAnsi="Century Gothic" w:cstheme="majorHAnsi"/>
          <w:b/>
          <w:sz w:val="24"/>
          <w:szCs w:val="24"/>
        </w:rPr>
      </w:pPr>
      <w:r w:rsidRPr="00C77983">
        <w:rPr>
          <w:rFonts w:ascii="Century Gothic" w:hAnsi="Century Gothic" w:cstheme="majorHAnsi"/>
          <w:b/>
          <w:i/>
          <w:sz w:val="24"/>
          <w:szCs w:val="24"/>
        </w:rPr>
        <w:t xml:space="preserve">Siguiendo esta estadística, solo a </w:t>
      </w:r>
      <w:r w:rsidR="0089491F" w:rsidRPr="00C77983">
        <w:rPr>
          <w:rFonts w:ascii="Century Gothic" w:hAnsi="Century Gothic" w:cstheme="majorHAnsi"/>
          <w:b/>
          <w:i/>
          <w:sz w:val="24"/>
          <w:szCs w:val="24"/>
        </w:rPr>
        <w:t>partir del 16 de mayo lo que recib</w:t>
      </w:r>
      <w:r w:rsidRPr="00C77983">
        <w:rPr>
          <w:rFonts w:ascii="Century Gothic" w:hAnsi="Century Gothic" w:cstheme="majorHAnsi"/>
          <w:b/>
          <w:i/>
          <w:sz w:val="24"/>
          <w:szCs w:val="24"/>
        </w:rPr>
        <w:t>a irá a sus bo</w:t>
      </w:r>
      <w:bookmarkStart w:id="0" w:name="_GoBack"/>
      <w:bookmarkEnd w:id="0"/>
      <w:r w:rsidRPr="00C77983">
        <w:rPr>
          <w:rFonts w:ascii="Century Gothic" w:hAnsi="Century Gothic" w:cstheme="majorHAnsi"/>
          <w:b/>
          <w:i/>
          <w:sz w:val="24"/>
          <w:szCs w:val="24"/>
        </w:rPr>
        <w:t>lsillos. Hasta ahora solo trabaja</w:t>
      </w:r>
      <w:r w:rsidR="0089491F" w:rsidRPr="00C77983">
        <w:rPr>
          <w:rFonts w:ascii="Century Gothic" w:hAnsi="Century Gothic" w:cstheme="majorHAnsi"/>
          <w:b/>
          <w:i/>
          <w:sz w:val="24"/>
          <w:szCs w:val="24"/>
        </w:rPr>
        <w:t xml:space="preserve"> para el Estado o </w:t>
      </w:r>
      <w:r w:rsidR="00270668" w:rsidRPr="00C77983">
        <w:rPr>
          <w:rFonts w:ascii="Century Gothic" w:hAnsi="Century Gothic" w:cstheme="majorHAnsi"/>
          <w:b/>
          <w:i/>
          <w:sz w:val="24"/>
          <w:szCs w:val="24"/>
        </w:rPr>
        <w:t xml:space="preserve">el sistema previsional. </w:t>
      </w:r>
      <w:r w:rsidR="00BC52D3">
        <w:rPr>
          <w:rFonts w:ascii="Century Gothic" w:hAnsi="Century Gothic" w:cstheme="majorHAnsi"/>
          <w:b/>
          <w:i/>
          <w:sz w:val="24"/>
          <w:szCs w:val="24"/>
        </w:rPr>
        <w:t xml:space="preserve">Además, </w:t>
      </w:r>
      <w:r w:rsidR="00BC52D3">
        <w:rPr>
          <w:rFonts w:ascii="Century Gothic" w:hAnsi="Century Gothic" w:cstheme="majorHAnsi"/>
          <w:b/>
          <w:sz w:val="24"/>
          <w:szCs w:val="24"/>
        </w:rPr>
        <w:t>e</w:t>
      </w:r>
      <w:r w:rsidR="00BC52D3" w:rsidRPr="00BC52D3">
        <w:rPr>
          <w:rFonts w:ascii="Century Gothic" w:hAnsi="Century Gothic" w:cstheme="majorHAnsi"/>
          <w:b/>
          <w:sz w:val="24"/>
          <w:szCs w:val="24"/>
        </w:rPr>
        <w:t>l 37% del ingreso de los trabajadores formales queda fuera de su alcance por impuestos y retenciones</w:t>
      </w:r>
      <w:r w:rsidR="00BC52D3">
        <w:rPr>
          <w:rFonts w:ascii="Century Gothic" w:hAnsi="Century Gothic" w:cstheme="majorHAnsi"/>
          <w:b/>
          <w:sz w:val="24"/>
          <w:szCs w:val="24"/>
        </w:rPr>
        <w:t>.</w:t>
      </w:r>
      <w:r w:rsidR="00270668" w:rsidRPr="00C77983">
        <w:rPr>
          <w:rFonts w:ascii="Century Gothic" w:hAnsi="Century Gothic" w:cstheme="majorHAnsi"/>
          <w:b/>
          <w:i/>
          <w:sz w:val="24"/>
          <w:szCs w:val="24"/>
        </w:rPr>
        <w:br/>
      </w:r>
    </w:p>
    <w:p w14:paraId="6F398519" w14:textId="2EA94F66" w:rsidR="00352375" w:rsidRPr="00C77983" w:rsidRDefault="00A573B6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b/>
          <w:sz w:val="24"/>
          <w:szCs w:val="24"/>
        </w:rPr>
        <w:t>Lima, 03 de mayo del 2019.-</w:t>
      </w:r>
      <w:r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6C26CF" w:rsidRPr="00C77983">
        <w:rPr>
          <w:rFonts w:ascii="Century Gothic" w:hAnsi="Century Gothic" w:cstheme="majorHAnsi"/>
          <w:sz w:val="24"/>
          <w:szCs w:val="24"/>
        </w:rPr>
        <w:t xml:space="preserve">En estas fechas, tras hacer </w:t>
      </w:r>
      <w:r w:rsidR="00C77983">
        <w:rPr>
          <w:rFonts w:ascii="Century Gothic" w:hAnsi="Century Gothic" w:cstheme="majorHAnsi"/>
          <w:sz w:val="24"/>
          <w:szCs w:val="24"/>
        </w:rPr>
        <w:t xml:space="preserve">el </w:t>
      </w:r>
      <w:r w:rsidR="006C26CF" w:rsidRPr="00C77983">
        <w:rPr>
          <w:rFonts w:ascii="Century Gothic" w:hAnsi="Century Gothic" w:cstheme="majorHAnsi"/>
          <w:sz w:val="24"/>
          <w:szCs w:val="24"/>
        </w:rPr>
        <w:t>balance del Impuesto a la Renta que debemos pagar</w:t>
      </w:r>
      <w:r w:rsidR="00F95743" w:rsidRPr="00C77983">
        <w:rPr>
          <w:rFonts w:ascii="Century Gothic" w:hAnsi="Century Gothic" w:cstheme="majorHAnsi"/>
          <w:sz w:val="24"/>
          <w:szCs w:val="24"/>
        </w:rPr>
        <w:t xml:space="preserve"> a Sunat</w:t>
      </w:r>
      <w:r w:rsidR="006C26CF" w:rsidRPr="00C77983">
        <w:rPr>
          <w:rFonts w:ascii="Century Gothic" w:hAnsi="Century Gothic" w:cstheme="majorHAnsi"/>
          <w:sz w:val="24"/>
          <w:szCs w:val="24"/>
        </w:rPr>
        <w:t>, es inevitable que a los</w:t>
      </w:r>
      <w:r w:rsidR="00C321F4"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contribuyentes </w:t>
      </w:r>
      <w:r w:rsidR="006C26CF" w:rsidRPr="00C77983">
        <w:rPr>
          <w:rFonts w:ascii="Century Gothic" w:hAnsi="Century Gothic" w:cstheme="majorHAnsi"/>
          <w:sz w:val="24"/>
          <w:szCs w:val="24"/>
        </w:rPr>
        <w:t xml:space="preserve">nos </w:t>
      </w:r>
      <w:r w:rsidR="00F95743" w:rsidRPr="00C77983">
        <w:rPr>
          <w:rFonts w:ascii="Century Gothic" w:hAnsi="Century Gothic" w:cstheme="majorHAnsi"/>
          <w:sz w:val="24"/>
          <w:szCs w:val="24"/>
        </w:rPr>
        <w:t>surjan</w:t>
      </w:r>
      <w:r w:rsidR="006C26CF" w:rsidRPr="00C77983">
        <w:rPr>
          <w:rFonts w:ascii="Century Gothic" w:hAnsi="Century Gothic" w:cstheme="majorHAnsi"/>
          <w:sz w:val="24"/>
          <w:szCs w:val="24"/>
        </w:rPr>
        <w:t xml:space="preserve"> algunas interrogantes, 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6C26CF" w:rsidRPr="00C77983">
        <w:rPr>
          <w:rFonts w:ascii="Century Gothic" w:hAnsi="Century Gothic" w:cstheme="majorHAnsi"/>
          <w:sz w:val="24"/>
          <w:szCs w:val="24"/>
        </w:rPr>
        <w:t>¿</w:t>
      </w:r>
      <w:r w:rsidR="00F95743" w:rsidRPr="00C77983">
        <w:rPr>
          <w:rFonts w:ascii="Century Gothic" w:hAnsi="Century Gothic" w:cstheme="majorHAnsi"/>
          <w:sz w:val="24"/>
          <w:szCs w:val="24"/>
        </w:rPr>
        <w:t>qué porcentaje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de nuestros ingresos </w:t>
      </w:r>
      <w:r w:rsidR="00CD7BD3" w:rsidRPr="00C77983">
        <w:rPr>
          <w:rFonts w:ascii="Century Gothic" w:hAnsi="Century Gothic" w:cstheme="majorHAnsi"/>
          <w:sz w:val="24"/>
          <w:szCs w:val="24"/>
        </w:rPr>
        <w:t>termina realmente a nuestra disposición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y </w:t>
      </w:r>
      <w:r w:rsidR="00CD7BD3" w:rsidRPr="00C77983">
        <w:rPr>
          <w:rFonts w:ascii="Century Gothic" w:hAnsi="Century Gothic" w:cstheme="majorHAnsi"/>
          <w:sz w:val="24"/>
          <w:szCs w:val="24"/>
        </w:rPr>
        <w:t>cuánto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5F5368" w:rsidRPr="00C77983">
        <w:rPr>
          <w:rFonts w:ascii="Century Gothic" w:hAnsi="Century Gothic" w:cstheme="majorHAnsi"/>
          <w:sz w:val="24"/>
          <w:szCs w:val="24"/>
        </w:rPr>
        <w:t>va a</w:t>
      </w:r>
      <w:r w:rsidR="006C26CF" w:rsidRPr="00C77983">
        <w:rPr>
          <w:rFonts w:ascii="Century Gothic" w:hAnsi="Century Gothic" w:cstheme="majorHAnsi"/>
          <w:sz w:val="24"/>
          <w:szCs w:val="24"/>
        </w:rPr>
        <w:t xml:space="preserve"> manos del Estado</w:t>
      </w:r>
      <w:r w:rsidR="00C77983">
        <w:rPr>
          <w:rFonts w:ascii="Century Gothic" w:hAnsi="Century Gothic" w:cstheme="majorHAnsi"/>
          <w:sz w:val="24"/>
          <w:szCs w:val="24"/>
        </w:rPr>
        <w:t>,</w:t>
      </w:r>
      <w:r w:rsidR="006C26CF" w:rsidRPr="00C77983">
        <w:rPr>
          <w:rFonts w:ascii="Century Gothic" w:hAnsi="Century Gothic" w:cstheme="majorHAnsi"/>
          <w:sz w:val="24"/>
          <w:szCs w:val="24"/>
        </w:rPr>
        <w:t xml:space="preserve"> o </w:t>
      </w:r>
      <w:r w:rsidR="005F5368" w:rsidRPr="00C77983">
        <w:rPr>
          <w:rFonts w:ascii="Century Gothic" w:hAnsi="Century Gothic" w:cstheme="majorHAnsi"/>
          <w:sz w:val="24"/>
          <w:szCs w:val="24"/>
        </w:rPr>
        <w:t xml:space="preserve">queda </w:t>
      </w:r>
      <w:r w:rsidR="006C26CF" w:rsidRPr="00C77983">
        <w:rPr>
          <w:rFonts w:ascii="Century Gothic" w:hAnsi="Century Gothic" w:cstheme="majorHAnsi"/>
          <w:sz w:val="24"/>
          <w:szCs w:val="24"/>
        </w:rPr>
        <w:t>fuera de nuestro inmediato alcance?</w:t>
      </w:r>
      <w:r w:rsidR="00F95743" w:rsidRPr="00C77983">
        <w:rPr>
          <w:rFonts w:ascii="Century Gothic" w:hAnsi="Century Gothic" w:cstheme="majorHAnsi"/>
          <w:sz w:val="24"/>
          <w:szCs w:val="24"/>
        </w:rPr>
        <w:t xml:space="preserve">. </w:t>
      </w:r>
    </w:p>
    <w:p w14:paraId="3F2EEA8A" w14:textId="2FC5ADBF" w:rsidR="00AA56D2" w:rsidRPr="00C77983" w:rsidRDefault="00F95743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 xml:space="preserve">Para conocer esto, la </w:t>
      </w:r>
      <w:r w:rsidRPr="00C77983">
        <w:rPr>
          <w:rFonts w:ascii="Century Gothic" w:hAnsi="Century Gothic" w:cstheme="majorHAnsi"/>
          <w:b/>
          <w:sz w:val="24"/>
          <w:szCs w:val="24"/>
        </w:rPr>
        <w:t>Asociación de Contribuyentes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C77983">
        <w:rPr>
          <w:rFonts w:ascii="Century Gothic" w:hAnsi="Century Gothic" w:cstheme="majorHAnsi"/>
          <w:b/>
          <w:sz w:val="24"/>
          <w:szCs w:val="24"/>
        </w:rPr>
        <w:t>del Perú</w:t>
      </w:r>
      <w:r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C77983">
        <w:rPr>
          <w:rFonts w:ascii="Century Gothic" w:hAnsi="Century Gothic" w:cstheme="majorHAnsi"/>
          <w:b/>
          <w:sz w:val="24"/>
          <w:szCs w:val="24"/>
        </w:rPr>
        <w:t>elabora cada año</w:t>
      </w:r>
      <w:r w:rsidRPr="00C77983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>el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>Índice de Libertad del Contribuye</w:t>
      </w:r>
      <w:r w:rsidRPr="00C77983">
        <w:rPr>
          <w:rFonts w:ascii="Century Gothic" w:hAnsi="Century Gothic" w:cstheme="majorHAnsi"/>
          <w:b/>
          <w:sz w:val="24"/>
          <w:szCs w:val="24"/>
        </w:rPr>
        <w:t>nte</w:t>
      </w:r>
      <w:r w:rsidRPr="00C77983">
        <w:rPr>
          <w:rFonts w:ascii="Century Gothic" w:hAnsi="Century Gothic" w:cstheme="majorHAnsi"/>
          <w:sz w:val="24"/>
          <w:szCs w:val="24"/>
        </w:rPr>
        <w:t xml:space="preserve"> (ILC)</w:t>
      </w:r>
      <w:r w:rsidR="00352B6F" w:rsidRPr="00C77983">
        <w:rPr>
          <w:rFonts w:ascii="Century Gothic" w:hAnsi="Century Gothic" w:cstheme="majorHAnsi"/>
          <w:sz w:val="24"/>
          <w:szCs w:val="24"/>
        </w:rPr>
        <w:t xml:space="preserve">, </w:t>
      </w:r>
      <w:r w:rsidR="00C77983">
        <w:rPr>
          <w:rFonts w:ascii="Century Gothic" w:hAnsi="Century Gothic" w:cstheme="majorHAnsi"/>
          <w:sz w:val="24"/>
          <w:szCs w:val="24"/>
        </w:rPr>
        <w:t xml:space="preserve">basado en una metodología aplicada en diversos países hace varios años, y </w:t>
      </w:r>
      <w:r w:rsidR="00352B6F" w:rsidRPr="00C77983">
        <w:rPr>
          <w:rFonts w:ascii="Century Gothic" w:hAnsi="Century Gothic" w:cstheme="majorHAnsi"/>
          <w:sz w:val="24"/>
          <w:szCs w:val="24"/>
        </w:rPr>
        <w:t xml:space="preserve">que </w:t>
      </w:r>
      <w:r w:rsidR="00D166E0" w:rsidRPr="00C77983">
        <w:rPr>
          <w:rFonts w:ascii="Century Gothic" w:hAnsi="Century Gothic" w:cstheme="majorHAnsi"/>
          <w:sz w:val="24"/>
          <w:szCs w:val="24"/>
        </w:rPr>
        <w:t>nos señala</w:t>
      </w:r>
      <w:r w:rsidR="00352B6F" w:rsidRPr="00C77983">
        <w:rPr>
          <w:rFonts w:ascii="Century Gothic" w:hAnsi="Century Gothic" w:cstheme="majorHAnsi"/>
          <w:sz w:val="24"/>
          <w:szCs w:val="24"/>
        </w:rPr>
        <w:t xml:space="preserve"> cuánt</w:t>
      </w:r>
      <w:r w:rsidR="00352375" w:rsidRPr="00C77983">
        <w:rPr>
          <w:rFonts w:ascii="Century Gothic" w:hAnsi="Century Gothic" w:cstheme="majorHAnsi"/>
          <w:sz w:val="24"/>
          <w:szCs w:val="24"/>
        </w:rPr>
        <w:t>a libertad de uso tiene la persona que paga impuestos, sobre sus ingresos</w:t>
      </w:r>
      <w:r w:rsidR="00AA56D2" w:rsidRPr="00C77983">
        <w:rPr>
          <w:rFonts w:ascii="Century Gothic" w:hAnsi="Century Gothic" w:cstheme="majorHAnsi"/>
          <w:sz w:val="24"/>
          <w:szCs w:val="24"/>
        </w:rPr>
        <w:t>.</w:t>
      </w:r>
    </w:p>
    <w:p w14:paraId="05E88E79" w14:textId="50CF2197" w:rsidR="00AA56D2" w:rsidRPr="00C77983" w:rsidRDefault="005F5368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>El Gobierno suele hablar de un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14</w:t>
      </w:r>
      <w:r w:rsidRPr="00C77983">
        <w:rPr>
          <w:rFonts w:ascii="Century Gothic" w:hAnsi="Century Gothic" w:cstheme="majorHAnsi"/>
          <w:sz w:val="24"/>
          <w:szCs w:val="24"/>
        </w:rPr>
        <w:t>% de presión tributaria, sin embargo, los resultados de nuestro análisis indican que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un 37% de </w:t>
      </w:r>
      <w:r w:rsidRPr="00C77983">
        <w:rPr>
          <w:rFonts w:ascii="Century Gothic" w:hAnsi="Century Gothic" w:cstheme="majorHAnsi"/>
          <w:b/>
          <w:sz w:val="24"/>
          <w:szCs w:val="24"/>
        </w:rPr>
        <w:t xml:space="preserve">los 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>ingresos</w:t>
      </w:r>
      <w:r w:rsidRPr="00C77983">
        <w:rPr>
          <w:rFonts w:ascii="Century Gothic" w:hAnsi="Century Gothic" w:cstheme="majorHAnsi"/>
          <w:b/>
          <w:sz w:val="24"/>
          <w:szCs w:val="24"/>
        </w:rPr>
        <w:t xml:space="preserve"> quedan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restringidos para los contri</w:t>
      </w:r>
      <w:r w:rsidRPr="00C77983">
        <w:rPr>
          <w:rFonts w:ascii="Century Gothic" w:hAnsi="Century Gothic" w:cstheme="majorHAnsi"/>
          <w:b/>
          <w:sz w:val="24"/>
          <w:szCs w:val="24"/>
        </w:rPr>
        <w:t>buyentes.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C77983">
        <w:rPr>
          <w:rFonts w:ascii="Century Gothic" w:hAnsi="Century Gothic" w:cstheme="majorHAnsi"/>
          <w:sz w:val="24"/>
          <w:szCs w:val="24"/>
        </w:rPr>
        <w:t xml:space="preserve">Este porcentaje termina destinado a 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cubrir costos burocráticos, </w:t>
      </w:r>
      <w:r w:rsidR="00EA262B" w:rsidRPr="00C77983">
        <w:rPr>
          <w:rFonts w:ascii="Century Gothic" w:hAnsi="Century Gothic" w:cstheme="majorHAnsi"/>
          <w:sz w:val="24"/>
          <w:szCs w:val="24"/>
        </w:rPr>
        <w:t xml:space="preserve">políticas redistributivas </w:t>
      </w:r>
      <w:r w:rsidR="00AA56D2" w:rsidRPr="00C77983">
        <w:rPr>
          <w:rFonts w:ascii="Century Gothic" w:hAnsi="Century Gothic" w:cstheme="majorHAnsi"/>
          <w:sz w:val="24"/>
          <w:szCs w:val="24"/>
        </w:rPr>
        <w:t>y</w:t>
      </w:r>
      <w:r w:rsidRPr="00C77983">
        <w:rPr>
          <w:rFonts w:ascii="Century Gothic" w:hAnsi="Century Gothic" w:cstheme="majorHAnsi"/>
          <w:sz w:val="24"/>
          <w:szCs w:val="24"/>
        </w:rPr>
        <w:t xml:space="preserve"> sostener servicios no elegidos o </w:t>
      </w:r>
      <w:r w:rsidR="00AA56D2" w:rsidRPr="00C77983">
        <w:rPr>
          <w:rFonts w:ascii="Century Gothic" w:hAnsi="Century Gothic" w:cstheme="majorHAnsi"/>
          <w:sz w:val="24"/>
          <w:szCs w:val="24"/>
        </w:rPr>
        <w:t>no utilizados.</w:t>
      </w:r>
    </w:p>
    <w:p w14:paraId="45AE5F5F" w14:textId="35486FD4" w:rsidR="00AA56D2" w:rsidRPr="00C77983" w:rsidRDefault="00EA262B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 xml:space="preserve">Al hablar de </w:t>
      </w:r>
      <w:r w:rsidRPr="00C77983">
        <w:rPr>
          <w:rFonts w:ascii="Century Gothic" w:hAnsi="Century Gothic" w:cstheme="majorHAnsi"/>
          <w:b/>
          <w:sz w:val="24"/>
          <w:szCs w:val="24"/>
        </w:rPr>
        <w:t>contribuyente</w:t>
      </w:r>
      <w:r w:rsidRPr="00C77983">
        <w:rPr>
          <w:rFonts w:ascii="Century Gothic" w:hAnsi="Century Gothic" w:cstheme="majorHAnsi"/>
          <w:sz w:val="24"/>
          <w:szCs w:val="24"/>
        </w:rPr>
        <w:t>, no referimos a una persona con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>trabajo formal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, dependiente o independiente, que soporta </w:t>
      </w:r>
      <w:r w:rsidRPr="00C77983">
        <w:rPr>
          <w:rFonts w:ascii="Century Gothic" w:hAnsi="Century Gothic" w:cstheme="majorHAnsi"/>
          <w:sz w:val="24"/>
          <w:szCs w:val="24"/>
        </w:rPr>
        <w:t xml:space="preserve">el pago de </w:t>
      </w:r>
      <w:r w:rsidR="00AA56D2" w:rsidRPr="00C77983">
        <w:rPr>
          <w:rFonts w:ascii="Century Gothic" w:hAnsi="Century Gothic" w:cstheme="majorHAnsi"/>
          <w:sz w:val="24"/>
          <w:szCs w:val="24"/>
        </w:rPr>
        <w:t>contribuciones</w:t>
      </w:r>
      <w:r w:rsidRPr="00C77983">
        <w:rPr>
          <w:rFonts w:ascii="Century Gothic" w:hAnsi="Century Gothic" w:cstheme="majorHAnsi"/>
          <w:sz w:val="24"/>
          <w:szCs w:val="24"/>
        </w:rPr>
        <w:t xml:space="preserve"> como 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Essalud y </w:t>
      </w:r>
      <w:r w:rsidRPr="00C77983">
        <w:rPr>
          <w:rFonts w:ascii="Century Gothic" w:hAnsi="Century Gothic" w:cstheme="majorHAnsi"/>
          <w:sz w:val="24"/>
          <w:szCs w:val="24"/>
        </w:rPr>
        <w:t>el Sistema Previsional, además del pago de otros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impuestos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. </w:t>
      </w:r>
    </w:p>
    <w:p w14:paraId="4DA74770" w14:textId="77777777" w:rsidR="00C77983" w:rsidRDefault="00AA56D2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>En base a este estándar de contribuyent</w:t>
      </w:r>
      <w:r w:rsidR="007D5F0F" w:rsidRPr="00C77983">
        <w:rPr>
          <w:rFonts w:ascii="Century Gothic" w:hAnsi="Century Gothic" w:cstheme="majorHAnsi"/>
          <w:sz w:val="24"/>
          <w:szCs w:val="24"/>
        </w:rPr>
        <w:t>e promedio, determinamos que de su</w:t>
      </w:r>
      <w:r w:rsidRPr="00C77983">
        <w:rPr>
          <w:rFonts w:ascii="Century Gothic" w:hAnsi="Century Gothic" w:cstheme="majorHAnsi"/>
          <w:sz w:val="24"/>
          <w:szCs w:val="24"/>
        </w:rPr>
        <w:t xml:space="preserve"> ingreso bruto mensual debe pagar</w:t>
      </w:r>
      <w:r w:rsidR="00C77983">
        <w:rPr>
          <w:rFonts w:ascii="Century Gothic" w:hAnsi="Century Gothic" w:cstheme="majorHAnsi"/>
          <w:sz w:val="24"/>
          <w:szCs w:val="24"/>
        </w:rPr>
        <w:t>:</w:t>
      </w:r>
    </w:p>
    <w:p w14:paraId="44B7933A" w14:textId="4FA0ACDD" w:rsidR="00C77983" w:rsidRPr="00C77983" w:rsidRDefault="00C77983" w:rsidP="00C77983">
      <w:pPr>
        <w:pStyle w:val="ListParagraph"/>
        <w:numPr>
          <w:ilvl w:val="0"/>
          <w:numId w:val="18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E</w:t>
      </w:r>
      <w:r w:rsidR="00454669" w:rsidRPr="00C77983">
        <w:rPr>
          <w:rFonts w:ascii="Century Gothic" w:hAnsi="Century Gothic" w:cstheme="majorHAnsi"/>
        </w:rPr>
        <w:t xml:space="preserve">l 8.6% </w:t>
      </w:r>
      <w:r w:rsidR="007D5F0F" w:rsidRPr="00C77983">
        <w:rPr>
          <w:rFonts w:ascii="Century Gothic" w:hAnsi="Century Gothic" w:cstheme="majorHAnsi"/>
        </w:rPr>
        <w:t>por concepto de</w:t>
      </w:r>
      <w:r w:rsidR="00AA56D2" w:rsidRPr="00C77983">
        <w:rPr>
          <w:rFonts w:ascii="Century Gothic" w:hAnsi="Century Gothic" w:cstheme="majorHAnsi"/>
        </w:rPr>
        <w:t xml:space="preserve"> </w:t>
      </w:r>
      <w:r w:rsidR="00AA56D2" w:rsidRPr="00C77983">
        <w:rPr>
          <w:rFonts w:ascii="Century Gothic" w:hAnsi="Century Gothic" w:cstheme="majorHAnsi"/>
          <w:b/>
        </w:rPr>
        <w:t>impuesto a la renta</w:t>
      </w:r>
      <w:r>
        <w:rPr>
          <w:rFonts w:ascii="Century Gothic" w:hAnsi="Century Gothic" w:cstheme="majorHAnsi"/>
          <w:b/>
        </w:rPr>
        <w:t>.</w:t>
      </w:r>
    </w:p>
    <w:p w14:paraId="1B8EA21A" w14:textId="77777777" w:rsidR="00C77983" w:rsidRDefault="00C77983" w:rsidP="00C77983">
      <w:pPr>
        <w:pStyle w:val="ListParagraph"/>
        <w:numPr>
          <w:ilvl w:val="0"/>
          <w:numId w:val="18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El </w:t>
      </w:r>
      <w:r w:rsidR="00454669" w:rsidRPr="00C77983">
        <w:rPr>
          <w:rFonts w:ascii="Century Gothic" w:hAnsi="Century Gothic" w:cstheme="majorHAnsi"/>
        </w:rPr>
        <w:t xml:space="preserve">10.7% </w:t>
      </w:r>
      <w:r w:rsidR="00AA56D2" w:rsidRPr="00C77983">
        <w:rPr>
          <w:rFonts w:ascii="Century Gothic" w:hAnsi="Century Gothic" w:cstheme="majorHAnsi"/>
        </w:rPr>
        <w:t>por</w:t>
      </w:r>
      <w:r w:rsidR="00454669" w:rsidRPr="00C77983">
        <w:rPr>
          <w:rFonts w:ascii="Century Gothic" w:hAnsi="Century Gothic" w:cstheme="majorHAnsi"/>
        </w:rPr>
        <w:t xml:space="preserve"> concepto de</w:t>
      </w:r>
      <w:r w:rsidR="00AA56D2" w:rsidRPr="00C77983">
        <w:rPr>
          <w:rFonts w:ascii="Century Gothic" w:hAnsi="Century Gothic" w:cstheme="majorHAnsi"/>
        </w:rPr>
        <w:t xml:space="preserve"> </w:t>
      </w:r>
      <w:r w:rsidR="00AA56D2" w:rsidRPr="00C77983">
        <w:rPr>
          <w:rFonts w:ascii="Century Gothic" w:hAnsi="Century Gothic" w:cstheme="majorHAnsi"/>
          <w:b/>
        </w:rPr>
        <w:t>IGV e ISC</w:t>
      </w:r>
      <w:r w:rsidR="00454669" w:rsidRPr="00C77983">
        <w:rPr>
          <w:rFonts w:ascii="Century Gothic" w:hAnsi="Century Gothic" w:cstheme="majorHAnsi"/>
        </w:rPr>
        <w:t>.</w:t>
      </w:r>
      <w:r w:rsidR="00AA56D2" w:rsidRPr="00C77983">
        <w:rPr>
          <w:rFonts w:ascii="Century Gothic" w:hAnsi="Century Gothic" w:cstheme="majorHAnsi"/>
        </w:rPr>
        <w:t xml:space="preserve"> </w:t>
      </w:r>
    </w:p>
    <w:p w14:paraId="3606879A" w14:textId="77777777" w:rsidR="00C77983" w:rsidRDefault="00AA56D2" w:rsidP="00C77983">
      <w:pPr>
        <w:pStyle w:val="ListParagraph"/>
        <w:numPr>
          <w:ilvl w:val="0"/>
          <w:numId w:val="18"/>
        </w:numPr>
        <w:jc w:val="both"/>
        <w:rPr>
          <w:rFonts w:ascii="Century Gothic" w:hAnsi="Century Gothic" w:cstheme="majorHAnsi"/>
        </w:rPr>
      </w:pPr>
      <w:r w:rsidRPr="00C77983">
        <w:rPr>
          <w:rFonts w:ascii="Century Gothic" w:hAnsi="Century Gothic" w:cstheme="majorHAnsi"/>
        </w:rPr>
        <w:t xml:space="preserve">Asimismo, tiene que contribuir con 9% a </w:t>
      </w:r>
      <w:proofErr w:type="spellStart"/>
      <w:r w:rsidRPr="00C77983">
        <w:rPr>
          <w:rFonts w:ascii="Century Gothic" w:hAnsi="Century Gothic" w:cstheme="majorHAnsi"/>
          <w:b/>
        </w:rPr>
        <w:t>Essalud</w:t>
      </w:r>
      <w:proofErr w:type="spellEnd"/>
      <w:r w:rsidR="00C77983">
        <w:rPr>
          <w:rFonts w:ascii="Century Gothic" w:hAnsi="Century Gothic" w:cstheme="majorHAnsi"/>
        </w:rPr>
        <w:t>.</w:t>
      </w:r>
    </w:p>
    <w:p w14:paraId="700E2BC0" w14:textId="77777777" w:rsidR="00C77983" w:rsidRDefault="00C77983" w:rsidP="00C77983">
      <w:pPr>
        <w:pStyle w:val="ListParagraph"/>
        <w:numPr>
          <w:ilvl w:val="0"/>
          <w:numId w:val="18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A</w:t>
      </w:r>
      <w:r w:rsidR="00AA56D2" w:rsidRPr="00C77983">
        <w:rPr>
          <w:rFonts w:ascii="Century Gothic" w:hAnsi="Century Gothic" w:cstheme="majorHAnsi"/>
        </w:rPr>
        <w:t xml:space="preserve">portar 6.6% al </w:t>
      </w:r>
      <w:r w:rsidR="00AA56D2" w:rsidRPr="00C77983">
        <w:rPr>
          <w:rFonts w:ascii="Century Gothic" w:hAnsi="Century Gothic" w:cstheme="majorHAnsi"/>
          <w:b/>
        </w:rPr>
        <w:t>Sistema Previsional</w:t>
      </w:r>
      <w:r w:rsidR="00AA56D2" w:rsidRPr="00C77983">
        <w:rPr>
          <w:rFonts w:ascii="Century Gothic" w:hAnsi="Century Gothic" w:cstheme="majorHAnsi"/>
        </w:rPr>
        <w:t xml:space="preserve">. </w:t>
      </w:r>
    </w:p>
    <w:p w14:paraId="7A12A96F" w14:textId="77777777" w:rsidR="00C77983" w:rsidRDefault="00C77983" w:rsidP="00C77983">
      <w:pPr>
        <w:pStyle w:val="ListParagraph"/>
        <w:numPr>
          <w:ilvl w:val="0"/>
          <w:numId w:val="18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T</w:t>
      </w:r>
      <w:r w:rsidR="00AA56D2" w:rsidRPr="00C77983">
        <w:rPr>
          <w:rFonts w:ascii="Century Gothic" w:hAnsi="Century Gothic" w:cstheme="majorHAnsi"/>
        </w:rPr>
        <w:t>iene que pagar mensualmente</w:t>
      </w:r>
      <w:r w:rsidR="00454669" w:rsidRPr="00C77983">
        <w:rPr>
          <w:rFonts w:ascii="Century Gothic" w:hAnsi="Century Gothic" w:cstheme="majorHAnsi"/>
        </w:rPr>
        <w:t xml:space="preserve"> 1.2%</w:t>
      </w:r>
      <w:r w:rsidR="00AA56D2" w:rsidRPr="00C77983">
        <w:rPr>
          <w:rFonts w:ascii="Century Gothic" w:hAnsi="Century Gothic" w:cstheme="majorHAnsi"/>
        </w:rPr>
        <w:t xml:space="preserve"> por concepto de </w:t>
      </w:r>
      <w:r w:rsidR="00AA56D2" w:rsidRPr="00C77983">
        <w:rPr>
          <w:rFonts w:ascii="Century Gothic" w:hAnsi="Century Gothic" w:cstheme="majorHAnsi"/>
          <w:b/>
        </w:rPr>
        <w:t>predios y arbitrios</w:t>
      </w:r>
      <w:r w:rsidR="00454669" w:rsidRPr="00C77983">
        <w:rPr>
          <w:rFonts w:ascii="Century Gothic" w:hAnsi="Century Gothic" w:cstheme="majorHAnsi"/>
        </w:rPr>
        <w:t xml:space="preserve">. </w:t>
      </w:r>
    </w:p>
    <w:p w14:paraId="4D8D87D1" w14:textId="38FAEE34" w:rsidR="00AA56D2" w:rsidRPr="00C77983" w:rsidRDefault="00454669" w:rsidP="00C77983">
      <w:pPr>
        <w:pStyle w:val="ListParagraph"/>
        <w:numPr>
          <w:ilvl w:val="0"/>
          <w:numId w:val="18"/>
        </w:numPr>
        <w:jc w:val="both"/>
        <w:rPr>
          <w:rFonts w:ascii="Century Gothic" w:hAnsi="Century Gothic" w:cstheme="majorHAnsi"/>
        </w:rPr>
      </w:pPr>
      <w:r w:rsidRPr="00C77983">
        <w:rPr>
          <w:rFonts w:ascii="Century Gothic" w:hAnsi="Century Gothic" w:cstheme="majorHAnsi"/>
        </w:rPr>
        <w:lastRenderedPageBreak/>
        <w:t>Y</w:t>
      </w:r>
      <w:r w:rsidR="00AA56D2" w:rsidRPr="00C77983">
        <w:rPr>
          <w:rFonts w:ascii="Century Gothic" w:hAnsi="Century Gothic" w:cstheme="majorHAnsi"/>
        </w:rPr>
        <w:t xml:space="preserve"> debido al </w:t>
      </w:r>
      <w:r w:rsidR="00AA56D2" w:rsidRPr="00C77983">
        <w:rPr>
          <w:rFonts w:ascii="Century Gothic" w:hAnsi="Century Gothic" w:cstheme="majorHAnsi"/>
          <w:b/>
        </w:rPr>
        <w:t>costo de la política monetaria</w:t>
      </w:r>
      <w:r w:rsidR="00AA56D2" w:rsidRPr="00C77983">
        <w:rPr>
          <w:rFonts w:ascii="Century Gothic" w:hAnsi="Century Gothic" w:cstheme="majorHAnsi"/>
        </w:rPr>
        <w:t>, también debe considerarse que su poder adquisitivo disminuye mensualmente en 0.18%.</w:t>
      </w:r>
    </w:p>
    <w:p w14:paraId="0D910381" w14:textId="77777777" w:rsidR="00C77983" w:rsidRDefault="00C77983" w:rsidP="00AA56D2">
      <w:pPr>
        <w:jc w:val="both"/>
        <w:rPr>
          <w:rFonts w:ascii="Century Gothic" w:hAnsi="Century Gothic" w:cstheme="majorHAnsi"/>
          <w:sz w:val="24"/>
          <w:szCs w:val="24"/>
        </w:rPr>
      </w:pPr>
    </w:p>
    <w:p w14:paraId="49A041A1" w14:textId="2D657DEE" w:rsidR="00AA56D2" w:rsidRPr="00C77983" w:rsidRDefault="00454669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>En el caso de los impuestos, queda claro que salen de nuestros ingresos y van destinados al Estado. En el caso de los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AA56D2" w:rsidRPr="00C77983">
        <w:rPr>
          <w:rFonts w:ascii="Century Gothic" w:hAnsi="Century Gothic" w:cstheme="majorHAnsi"/>
          <w:sz w:val="24"/>
          <w:szCs w:val="24"/>
        </w:rPr>
        <w:t>recursos destinados a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Es</w:t>
      </w:r>
      <w:r w:rsidRPr="00C77983">
        <w:rPr>
          <w:rFonts w:ascii="Century Gothic" w:hAnsi="Century Gothic" w:cstheme="majorHAnsi"/>
          <w:b/>
          <w:sz w:val="24"/>
          <w:szCs w:val="24"/>
        </w:rPr>
        <w:t>S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alud </w:t>
      </w:r>
      <w:r w:rsidR="00AA56D2" w:rsidRPr="00C77983">
        <w:rPr>
          <w:rFonts w:ascii="Century Gothic" w:hAnsi="Century Gothic" w:cstheme="majorHAnsi"/>
          <w:sz w:val="24"/>
          <w:szCs w:val="24"/>
        </w:rPr>
        <w:t>y al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Sistema Previsional</w:t>
      </w:r>
      <w:r w:rsidRPr="00C77983">
        <w:rPr>
          <w:rFonts w:ascii="Century Gothic" w:hAnsi="Century Gothic" w:cstheme="majorHAnsi"/>
          <w:b/>
          <w:sz w:val="24"/>
          <w:szCs w:val="24"/>
        </w:rPr>
        <w:t xml:space="preserve"> (AFP – ONP)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Pr="00C77983">
        <w:rPr>
          <w:rFonts w:ascii="Century Gothic" w:hAnsi="Century Gothic" w:cstheme="majorHAnsi"/>
          <w:sz w:val="24"/>
          <w:szCs w:val="24"/>
        </w:rPr>
        <w:t>consideramos que son</w:t>
      </w:r>
      <w:r w:rsidRPr="00C77983">
        <w:rPr>
          <w:rFonts w:ascii="Century Gothic" w:hAnsi="Century Gothic" w:cstheme="majorHAnsi"/>
          <w:b/>
          <w:sz w:val="24"/>
          <w:szCs w:val="24"/>
        </w:rPr>
        <w:t xml:space="preserve"> ingresos restringidos, </w:t>
      </w:r>
      <w:r w:rsidRPr="00C77983">
        <w:rPr>
          <w:rFonts w:ascii="Century Gothic" w:hAnsi="Century Gothic" w:cstheme="majorHAnsi"/>
          <w:sz w:val="24"/>
          <w:szCs w:val="24"/>
        </w:rPr>
        <w:t>y las</w:t>
      </w:r>
      <w:r w:rsidRPr="00C77983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AA56D2" w:rsidRPr="00C77983">
        <w:rPr>
          <w:rFonts w:ascii="Century Gothic" w:hAnsi="Century Gothic" w:cstheme="majorHAnsi"/>
          <w:sz w:val="24"/>
          <w:szCs w:val="24"/>
        </w:rPr>
        <w:t>razones son las siguientes:</w:t>
      </w:r>
    </w:p>
    <w:p w14:paraId="24029C20" w14:textId="781B0765" w:rsidR="00AA56D2" w:rsidRPr="00C77983" w:rsidRDefault="00AA56D2" w:rsidP="00AA56D2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entury Gothic" w:hAnsi="Century Gothic" w:cstheme="majorHAnsi"/>
        </w:rPr>
      </w:pPr>
      <w:r w:rsidRPr="00C77983">
        <w:rPr>
          <w:rFonts w:ascii="Century Gothic" w:hAnsi="Century Gothic" w:cstheme="majorHAnsi"/>
        </w:rPr>
        <w:t xml:space="preserve">Se trata de </w:t>
      </w:r>
      <w:r w:rsidR="00C77983">
        <w:rPr>
          <w:rFonts w:ascii="Century Gothic" w:hAnsi="Century Gothic" w:cstheme="majorHAnsi"/>
        </w:rPr>
        <w:t>servicios que no hemos elegido.</w:t>
      </w:r>
    </w:p>
    <w:p w14:paraId="132C3AEA" w14:textId="110DB591" w:rsidR="00AA56D2" w:rsidRPr="00C77983" w:rsidRDefault="00AA56D2" w:rsidP="00AA56D2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Century Gothic" w:hAnsi="Century Gothic" w:cstheme="majorHAnsi"/>
        </w:rPr>
      </w:pPr>
      <w:r w:rsidRPr="00C77983">
        <w:rPr>
          <w:rFonts w:ascii="Century Gothic" w:hAnsi="Century Gothic" w:cstheme="majorHAnsi"/>
        </w:rPr>
        <w:t>En muchos casos s</w:t>
      </w:r>
      <w:r w:rsidR="00C77983">
        <w:rPr>
          <w:rFonts w:ascii="Century Gothic" w:hAnsi="Century Gothic" w:cstheme="majorHAnsi"/>
        </w:rPr>
        <w:t>on servicios que no utilizamos.</w:t>
      </w:r>
    </w:p>
    <w:p w14:paraId="560106C0" w14:textId="77777777" w:rsidR="00537FBD" w:rsidRDefault="00537FBD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>Así, con la carga impositiva y restricciones, tenemos que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casi</w:t>
      </w:r>
      <w:r w:rsidRPr="00C77983">
        <w:rPr>
          <w:rFonts w:ascii="Century Gothic" w:hAnsi="Century Gothic" w:cstheme="majorHAnsi"/>
          <w:sz w:val="24"/>
          <w:szCs w:val="24"/>
        </w:rPr>
        <w:t xml:space="preserve"> el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37% del ingreso de </w:t>
      </w:r>
      <w:r w:rsidRPr="00C77983">
        <w:rPr>
          <w:rFonts w:ascii="Century Gothic" w:hAnsi="Century Gothic" w:cstheme="majorHAnsi"/>
          <w:sz w:val="24"/>
          <w:szCs w:val="24"/>
        </w:rPr>
        <w:t>cada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contribuyente promedio se encuentra restringido, 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>quedando solo 63% del ingreso bruto p</w:t>
      </w:r>
      <w:r w:rsidRPr="00C77983">
        <w:rPr>
          <w:rFonts w:ascii="Century Gothic" w:hAnsi="Century Gothic" w:cstheme="majorHAnsi"/>
          <w:b/>
          <w:sz w:val="24"/>
          <w:szCs w:val="24"/>
        </w:rPr>
        <w:t>ara</w:t>
      </w:r>
      <w:r w:rsidR="00AA56D2" w:rsidRPr="00C77983">
        <w:rPr>
          <w:rFonts w:ascii="Century Gothic" w:hAnsi="Century Gothic" w:cstheme="majorHAnsi"/>
          <w:b/>
          <w:sz w:val="24"/>
          <w:szCs w:val="24"/>
        </w:rPr>
        <w:t xml:space="preserve"> libre disposición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. </w:t>
      </w:r>
    </w:p>
    <w:p w14:paraId="3FF7B46A" w14:textId="6EE23B29" w:rsidR="00C77983" w:rsidRPr="00C77983" w:rsidRDefault="00C77983" w:rsidP="00AA56D2">
      <w:pPr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Es decir, si usted ganase 5 mil soles, de ellos 1850 soles se los lleva el estado, y solo quedan en sus manos, 3150 soles.</w:t>
      </w:r>
    </w:p>
    <w:p w14:paraId="7804899B" w14:textId="77777777" w:rsidR="00C77983" w:rsidRDefault="00537FBD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>Si trasladamos estos porcentajes a un año calendario, podemos afirmar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que</w:t>
      </w:r>
      <w:r w:rsidRPr="00C77983">
        <w:rPr>
          <w:rFonts w:ascii="Century Gothic" w:hAnsi="Century Gothic" w:cstheme="majorHAnsi"/>
          <w:sz w:val="24"/>
          <w:szCs w:val="24"/>
        </w:rPr>
        <w:t xml:space="preserve"> </w:t>
      </w:r>
      <w:r w:rsidRPr="00C77983">
        <w:rPr>
          <w:rFonts w:ascii="Century Gothic" w:hAnsi="Century Gothic" w:cstheme="majorHAnsi"/>
          <w:b/>
          <w:sz w:val="24"/>
          <w:szCs w:val="24"/>
        </w:rPr>
        <w:t>hasta el 15 de mayo trabajaremos para pagar impuestos</w:t>
      </w:r>
      <w:r w:rsidRPr="00C77983">
        <w:rPr>
          <w:rFonts w:ascii="Century Gothic" w:hAnsi="Century Gothic" w:cstheme="majorHAnsi"/>
          <w:sz w:val="24"/>
          <w:szCs w:val="24"/>
        </w:rPr>
        <w:t xml:space="preserve"> y aportes restringidos. </w:t>
      </w:r>
    </w:p>
    <w:p w14:paraId="730289BD" w14:textId="1F201577" w:rsidR="00537FBD" w:rsidRPr="00C77983" w:rsidRDefault="00537FBD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 xml:space="preserve">El contribuyente sólo goza de </w:t>
      </w:r>
      <w:r w:rsidRPr="00C77983">
        <w:rPr>
          <w:rFonts w:ascii="Century Gothic" w:hAnsi="Century Gothic" w:cstheme="majorHAnsi"/>
          <w:b/>
          <w:sz w:val="24"/>
          <w:szCs w:val="24"/>
        </w:rPr>
        <w:t>7.5 meses de libre disposición de sus ingresos. L</w:t>
      </w:r>
      <w:r w:rsidR="00C77983" w:rsidRPr="00C77983">
        <w:rPr>
          <w:rFonts w:ascii="Century Gothic" w:hAnsi="Century Gothic" w:cstheme="majorHAnsi"/>
          <w:b/>
          <w:sz w:val="24"/>
          <w:szCs w:val="24"/>
        </w:rPr>
        <w:t>a fecha de inicio de la libertad</w:t>
      </w:r>
      <w:r w:rsidRPr="00C77983">
        <w:rPr>
          <w:rFonts w:ascii="Century Gothic" w:hAnsi="Century Gothic" w:cstheme="majorHAnsi"/>
          <w:b/>
          <w:sz w:val="24"/>
          <w:szCs w:val="24"/>
        </w:rPr>
        <w:t xml:space="preserve"> del contribuyente este año empezará el 16 de mayo.</w:t>
      </w:r>
      <w:r w:rsidRPr="00C77983">
        <w:rPr>
          <w:rFonts w:ascii="Century Gothic" w:hAnsi="Century Gothic" w:cstheme="majorHAnsi"/>
          <w:sz w:val="24"/>
          <w:szCs w:val="24"/>
        </w:rPr>
        <w:t xml:space="preserve"> </w:t>
      </w:r>
    </w:p>
    <w:p w14:paraId="7DA9A188" w14:textId="77777777" w:rsidR="00C77983" w:rsidRDefault="00C77983" w:rsidP="00AA56D2">
      <w:pPr>
        <w:jc w:val="both"/>
        <w:rPr>
          <w:rFonts w:ascii="Century Gothic" w:hAnsi="Century Gothic" w:cstheme="majorHAnsi"/>
          <w:b/>
          <w:sz w:val="24"/>
          <w:szCs w:val="24"/>
          <w:u w:val="single"/>
        </w:rPr>
      </w:pPr>
    </w:p>
    <w:p w14:paraId="46167241" w14:textId="5DBED36F" w:rsidR="0034377F" w:rsidRPr="00C77983" w:rsidRDefault="00C77983" w:rsidP="00AA56D2">
      <w:pPr>
        <w:jc w:val="both"/>
        <w:rPr>
          <w:rFonts w:ascii="Century Gothic" w:hAnsi="Century Gothic" w:cstheme="majorHAnsi"/>
          <w:b/>
          <w:sz w:val="24"/>
          <w:szCs w:val="24"/>
          <w:u w:val="single"/>
        </w:rPr>
      </w:pPr>
      <w:r>
        <w:rPr>
          <w:rFonts w:ascii="Century Gothic" w:hAnsi="Century Gothic" w:cstheme="majorHAnsi"/>
          <w:b/>
          <w:sz w:val="24"/>
          <w:szCs w:val="24"/>
          <w:u w:val="single"/>
        </w:rPr>
        <w:t>RECOMENDACIÓN: h</w:t>
      </w:r>
      <w:r w:rsidR="0034377F" w:rsidRPr="00C77983">
        <w:rPr>
          <w:rFonts w:ascii="Century Gothic" w:hAnsi="Century Gothic" w:cstheme="majorHAnsi"/>
          <w:b/>
          <w:sz w:val="24"/>
          <w:szCs w:val="24"/>
          <w:u w:val="single"/>
        </w:rPr>
        <w:t>acer atractiva la formalidad</w:t>
      </w:r>
    </w:p>
    <w:p w14:paraId="7CC221F6" w14:textId="77777777" w:rsidR="00C77983" w:rsidRDefault="00637C45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 xml:space="preserve">Con un 75% de informalidad en el país,  </w:t>
      </w:r>
      <w:r w:rsidR="007D5F0F" w:rsidRPr="00C77983">
        <w:rPr>
          <w:rFonts w:ascii="Century Gothic" w:hAnsi="Century Gothic" w:cstheme="majorHAnsi"/>
          <w:sz w:val="24"/>
          <w:szCs w:val="24"/>
        </w:rPr>
        <w:t>considera</w:t>
      </w:r>
      <w:r w:rsidRPr="00C77983">
        <w:rPr>
          <w:rFonts w:ascii="Century Gothic" w:hAnsi="Century Gothic" w:cstheme="majorHAnsi"/>
          <w:sz w:val="24"/>
          <w:szCs w:val="24"/>
        </w:rPr>
        <w:t xml:space="preserve">mos que es un pequeño grupo el que carga con el peso impositivo. La cifra se restringe aún más dentro de la Población Económicamente Activa </w:t>
      </w:r>
      <w:r w:rsidR="002A2C96" w:rsidRPr="00C77983">
        <w:rPr>
          <w:rFonts w:ascii="Century Gothic" w:hAnsi="Century Gothic" w:cstheme="majorHAnsi"/>
          <w:sz w:val="24"/>
          <w:szCs w:val="24"/>
        </w:rPr>
        <w:t xml:space="preserve">(PEA). </w:t>
      </w:r>
    </w:p>
    <w:p w14:paraId="4554A3C8" w14:textId="60C16C50" w:rsidR="00B436B9" w:rsidRPr="00C77983" w:rsidRDefault="00B436B9" w:rsidP="00AA56D2">
      <w:pPr>
        <w:jc w:val="both"/>
        <w:rPr>
          <w:rFonts w:ascii="Century Gothic" w:hAnsi="Century Gothic" w:cstheme="majorHAnsi"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 xml:space="preserve">Según el INEI, sólo 477 mil trabajadores paga impuestos y contribuciones, lo cual equivale a 2.8% del total de la PEA, y sólo representa </w:t>
      </w:r>
      <w:r w:rsidR="00C77983">
        <w:rPr>
          <w:rFonts w:ascii="Century Gothic" w:hAnsi="Century Gothic" w:cstheme="majorHAnsi"/>
          <w:sz w:val="24"/>
          <w:szCs w:val="24"/>
        </w:rPr>
        <w:t>el 10%</w:t>
      </w:r>
      <w:r w:rsidRPr="00C77983">
        <w:rPr>
          <w:rFonts w:ascii="Century Gothic" w:hAnsi="Century Gothic" w:cstheme="majorHAnsi"/>
          <w:sz w:val="24"/>
          <w:szCs w:val="24"/>
        </w:rPr>
        <w:t xml:space="preserve"> parte de la PEA empleada en la formalidad</w:t>
      </w:r>
      <w:r w:rsidR="00C77983">
        <w:rPr>
          <w:rFonts w:ascii="Century Gothic" w:hAnsi="Century Gothic" w:cstheme="majorHAnsi"/>
          <w:sz w:val="24"/>
          <w:szCs w:val="24"/>
        </w:rPr>
        <w:t xml:space="preserve"> (aunque la SUNAT afirma que el % llegaría al 12%)</w:t>
      </w:r>
      <w:r w:rsidRPr="00C77983">
        <w:rPr>
          <w:rFonts w:ascii="Century Gothic" w:hAnsi="Century Gothic" w:cstheme="majorHAnsi"/>
          <w:sz w:val="24"/>
          <w:szCs w:val="24"/>
        </w:rPr>
        <w:t>.</w:t>
      </w:r>
    </w:p>
    <w:p w14:paraId="22E1A8D3" w14:textId="776520D6" w:rsidR="0034377F" w:rsidRDefault="00637C45" w:rsidP="0034377F">
      <w:pPr>
        <w:jc w:val="both"/>
        <w:rPr>
          <w:rFonts w:ascii="Century Gothic" w:hAnsi="Century Gothic" w:cstheme="majorHAnsi"/>
          <w:b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</w:rPr>
        <w:t>Las</w:t>
      </w:r>
      <w:r w:rsidR="00AA56D2" w:rsidRPr="00C77983">
        <w:rPr>
          <w:rFonts w:ascii="Century Gothic" w:hAnsi="Century Gothic" w:cstheme="majorHAnsi"/>
          <w:sz w:val="24"/>
          <w:szCs w:val="24"/>
        </w:rPr>
        <w:t xml:space="preserve"> políticas públicas </w:t>
      </w:r>
      <w:r w:rsidR="0034377F" w:rsidRPr="00C77983">
        <w:rPr>
          <w:rFonts w:ascii="Century Gothic" w:hAnsi="Century Gothic" w:cstheme="majorHAnsi"/>
          <w:sz w:val="24"/>
          <w:szCs w:val="24"/>
        </w:rPr>
        <w:t xml:space="preserve">deben estar dirigidas a atraer a más personas hacia la formalidad y no ahuyentarlas. Es por esto que consideramos importante que los ciudadanos que pagan impuestos, los </w:t>
      </w:r>
      <w:r w:rsidR="0034377F" w:rsidRPr="00C77983">
        <w:rPr>
          <w:rFonts w:ascii="Century Gothic" w:hAnsi="Century Gothic" w:cstheme="majorHAnsi"/>
          <w:sz w:val="24"/>
          <w:szCs w:val="24"/>
        </w:rPr>
        <w:lastRenderedPageBreak/>
        <w:t>contribuyentes, se empoderen y ejerzan su derecho a</w:t>
      </w:r>
      <w:r w:rsidR="0034377F" w:rsidRPr="00C77983">
        <w:rPr>
          <w:rFonts w:ascii="Century Gothic" w:hAnsi="Century Gothic" w:cstheme="majorHAnsi"/>
          <w:b/>
          <w:sz w:val="24"/>
          <w:szCs w:val="24"/>
        </w:rPr>
        <w:t xml:space="preserve"> controlar la calidad y cantidad del gasto público. </w:t>
      </w:r>
    </w:p>
    <w:p w14:paraId="6FA6DEE8" w14:textId="77777777" w:rsidR="00C77983" w:rsidRDefault="00C77983" w:rsidP="0034377F">
      <w:pPr>
        <w:jc w:val="both"/>
        <w:rPr>
          <w:rFonts w:ascii="Century Gothic" w:hAnsi="Century Gothic" w:cstheme="majorHAnsi"/>
          <w:b/>
          <w:sz w:val="24"/>
          <w:szCs w:val="24"/>
        </w:rPr>
      </w:pPr>
    </w:p>
    <w:p w14:paraId="38B9C780" w14:textId="205842A9" w:rsidR="00C77983" w:rsidRDefault="00C77983" w:rsidP="0034377F">
      <w:pPr>
        <w:jc w:val="both"/>
        <w:rPr>
          <w:rFonts w:ascii="Century Gothic" w:hAnsi="Century Gothic" w:cstheme="majorHAnsi"/>
          <w:b/>
          <w:sz w:val="24"/>
          <w:szCs w:val="24"/>
        </w:rPr>
      </w:pPr>
      <w:r>
        <w:rPr>
          <w:rFonts w:ascii="Century Gothic" w:hAnsi="Century Gothic" w:cstheme="majorHAnsi"/>
          <w:b/>
          <w:sz w:val="24"/>
          <w:szCs w:val="24"/>
        </w:rPr>
        <w:t>Algunas recomendaciones prácticas:</w:t>
      </w:r>
    </w:p>
    <w:p w14:paraId="5DAFF093" w14:textId="0C887CD2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Intensificar el sistema de deducciones.</w:t>
      </w:r>
    </w:p>
    <w:p w14:paraId="1D7F625B" w14:textId="5A931080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Unificar los comprobantes. Debería existir un solo comprobante de pago.</w:t>
      </w:r>
    </w:p>
    <w:p w14:paraId="56ECDC89" w14:textId="3862532A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Reducir sustancialmente los costos de contratación y no seguir aumentando los “derechos” laborales.</w:t>
      </w:r>
    </w:p>
    <w:p w14:paraId="34F50F8D" w14:textId="0F9048B1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Dejar que empleador y empleado negocian libremente.</w:t>
      </w:r>
    </w:p>
    <w:p w14:paraId="2F1D3BEA" w14:textId="7B13505B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Eliminar el sueldo mínimo absoluto y plantear uno pensado por regiones o por sector productivos.</w:t>
      </w:r>
    </w:p>
    <w:p w14:paraId="30C7C668" w14:textId="1C5A8B3B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Eliminar barreras burocráticas y regulación ex ante y fortalecer la fiscalización ex post.</w:t>
      </w:r>
    </w:p>
    <w:p w14:paraId="157AA00B" w14:textId="13988C03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Digitalizar servicios públicos.</w:t>
      </w:r>
    </w:p>
    <w:p w14:paraId="6B396304" w14:textId="1360C21D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Eliminar trámites.</w:t>
      </w:r>
    </w:p>
    <w:p w14:paraId="0BE961FC" w14:textId="1355964E" w:rsidR="00C77983" w:rsidRDefault="00C77983" w:rsidP="00C77983">
      <w:pPr>
        <w:pStyle w:val="ListParagraph"/>
        <w:numPr>
          <w:ilvl w:val="0"/>
          <w:numId w:val="19"/>
        </w:numPr>
        <w:jc w:val="both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Destinar menos dinero a programas sociales y más dinero a programas de incubación de emprendimientos.</w:t>
      </w:r>
    </w:p>
    <w:p w14:paraId="62B6A144" w14:textId="77777777" w:rsidR="00C77983" w:rsidRDefault="00C77983" w:rsidP="00C77983">
      <w:pPr>
        <w:jc w:val="both"/>
        <w:rPr>
          <w:rFonts w:ascii="Century Gothic" w:hAnsi="Century Gothic" w:cstheme="majorHAnsi"/>
        </w:rPr>
      </w:pPr>
    </w:p>
    <w:p w14:paraId="737D133F" w14:textId="77777777" w:rsidR="00C77983" w:rsidRPr="00C77983" w:rsidRDefault="00C77983" w:rsidP="00C77983">
      <w:pPr>
        <w:jc w:val="both"/>
        <w:rPr>
          <w:rFonts w:ascii="Century Gothic" w:hAnsi="Century Gothic" w:cstheme="majorHAnsi"/>
        </w:rPr>
      </w:pPr>
    </w:p>
    <w:p w14:paraId="57EEE580" w14:textId="7BB51024" w:rsidR="00DE464D" w:rsidRPr="00C77983" w:rsidRDefault="00DE464D" w:rsidP="000F2D07">
      <w:pPr>
        <w:pStyle w:val="ListParagraph"/>
        <w:ind w:left="4950" w:hanging="4242"/>
        <w:jc w:val="right"/>
        <w:rPr>
          <w:rFonts w:ascii="Century Gothic" w:hAnsi="Century Gothic" w:cstheme="majorHAnsi"/>
          <w:lang w:val="es-ES"/>
        </w:rPr>
      </w:pPr>
      <w:r w:rsidRPr="00C77983">
        <w:rPr>
          <w:rFonts w:ascii="Century Gothic" w:eastAsia="Times New Roman" w:hAnsi="Century Gothic" w:cstheme="majorHAnsi"/>
          <w:lang w:eastAsia="es-PE"/>
        </w:rPr>
        <w:t xml:space="preserve">Agradecemos la difusión. </w:t>
      </w:r>
      <w:r w:rsidRPr="00C77983">
        <w:rPr>
          <w:rFonts w:ascii="Century Gothic" w:hAnsi="Century Gothic" w:cstheme="majorHAnsi"/>
        </w:rPr>
        <w:t xml:space="preserve"> </w:t>
      </w:r>
    </w:p>
    <w:p w14:paraId="707667DE" w14:textId="6656E403" w:rsidR="00DE464D" w:rsidRPr="00C77983" w:rsidRDefault="000F2D07" w:rsidP="00DE464D">
      <w:pPr>
        <w:spacing w:after="0" w:line="240" w:lineRule="auto"/>
        <w:jc w:val="right"/>
        <w:rPr>
          <w:rFonts w:ascii="Century Gothic" w:hAnsi="Century Gothic" w:cstheme="majorHAnsi"/>
          <w:b/>
          <w:sz w:val="24"/>
          <w:szCs w:val="24"/>
          <w:lang w:val="es-ES_tradnl"/>
        </w:rPr>
      </w:pPr>
      <w:r w:rsidRPr="00C77983">
        <w:rPr>
          <w:rFonts w:ascii="Century Gothic" w:hAnsi="Century Gothic" w:cstheme="majorHAnsi"/>
          <w:b/>
          <w:sz w:val="24"/>
          <w:szCs w:val="24"/>
          <w:lang w:val="es-ES_tradnl"/>
        </w:rPr>
        <w:br/>
      </w:r>
      <w:r w:rsidR="00DE464D" w:rsidRPr="00C77983">
        <w:rPr>
          <w:rFonts w:ascii="Century Gothic" w:hAnsi="Century Gothic" w:cstheme="majorHAnsi"/>
          <w:b/>
          <w:sz w:val="24"/>
          <w:szCs w:val="24"/>
          <w:lang w:val="es-ES_tradnl"/>
        </w:rPr>
        <w:t>Contacto Prensa</w:t>
      </w:r>
    </w:p>
    <w:p w14:paraId="097B9AE0" w14:textId="77777777" w:rsidR="00DE464D" w:rsidRPr="00C77983" w:rsidRDefault="00DE464D" w:rsidP="00DE464D">
      <w:pPr>
        <w:spacing w:after="0" w:line="240" w:lineRule="auto"/>
        <w:jc w:val="right"/>
        <w:rPr>
          <w:rFonts w:ascii="Century Gothic" w:hAnsi="Century Gothic" w:cstheme="majorHAnsi"/>
          <w:sz w:val="24"/>
          <w:szCs w:val="24"/>
          <w:lang w:val="es-ES_tradnl"/>
        </w:rPr>
      </w:pPr>
      <w:r w:rsidRPr="00C77983">
        <w:rPr>
          <w:rFonts w:ascii="Century Gothic" w:hAnsi="Century Gothic" w:cstheme="majorHAnsi"/>
          <w:sz w:val="24"/>
          <w:szCs w:val="24"/>
          <w:lang w:val="es-ES_tradnl"/>
        </w:rPr>
        <w:t>Luisa Huaruco Gonzales</w:t>
      </w:r>
    </w:p>
    <w:p w14:paraId="65F13427" w14:textId="77777777" w:rsidR="00DE464D" w:rsidRPr="00C77983" w:rsidRDefault="00DE464D" w:rsidP="00DE464D">
      <w:pPr>
        <w:spacing w:after="0" w:line="240" w:lineRule="auto"/>
        <w:jc w:val="right"/>
        <w:rPr>
          <w:rFonts w:ascii="Century Gothic" w:hAnsi="Century Gothic" w:cstheme="majorHAnsi"/>
          <w:sz w:val="24"/>
          <w:szCs w:val="24"/>
          <w:lang w:val="es-ES_tradnl"/>
        </w:rPr>
      </w:pPr>
      <w:r w:rsidRPr="00C77983">
        <w:rPr>
          <w:rFonts w:ascii="Century Gothic" w:hAnsi="Century Gothic" w:cstheme="majorHAnsi"/>
          <w:sz w:val="24"/>
          <w:szCs w:val="24"/>
          <w:lang w:val="es-ES_tradnl"/>
        </w:rPr>
        <w:t>993.661.662</w:t>
      </w:r>
    </w:p>
    <w:p w14:paraId="785AD56E" w14:textId="674B547A" w:rsidR="002F52AD" w:rsidRPr="00C77983" w:rsidRDefault="00DE464D" w:rsidP="009E33C6">
      <w:pPr>
        <w:spacing w:after="0" w:line="240" w:lineRule="auto"/>
        <w:jc w:val="right"/>
        <w:rPr>
          <w:rFonts w:ascii="Century Gothic" w:eastAsia="Century Gothic" w:hAnsi="Century Gothic" w:cstheme="majorHAnsi"/>
          <w:b/>
          <w:sz w:val="24"/>
          <w:szCs w:val="24"/>
        </w:rPr>
      </w:pPr>
      <w:r w:rsidRPr="00C77983">
        <w:rPr>
          <w:rFonts w:ascii="Century Gothic" w:hAnsi="Century Gothic" w:cstheme="majorHAnsi"/>
          <w:sz w:val="24"/>
          <w:szCs w:val="24"/>
          <w:lang w:val="es-ES_tradnl"/>
        </w:rPr>
        <w:t>Asociación de Contribuyentes del Perú</w:t>
      </w:r>
    </w:p>
    <w:sectPr w:rsidR="002F52AD" w:rsidRPr="00C77983" w:rsidSect="009665D2">
      <w:headerReference w:type="default" r:id="rId9"/>
      <w:footerReference w:type="default" r:id="rId10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2BAD" w14:textId="77777777" w:rsidR="00D031F9" w:rsidRDefault="00D031F9">
      <w:pPr>
        <w:spacing w:after="0" w:line="240" w:lineRule="auto"/>
      </w:pPr>
      <w:r>
        <w:separator/>
      </w:r>
    </w:p>
  </w:endnote>
  <w:endnote w:type="continuationSeparator" w:id="0">
    <w:p w14:paraId="1AA1AAB0" w14:textId="77777777" w:rsidR="00D031F9" w:rsidRDefault="00D0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ACDA" w14:textId="77777777" w:rsidR="00490842" w:rsidRDefault="00490842">
    <w:pPr>
      <w:pStyle w:val="Normal1"/>
      <w:tabs>
        <w:tab w:val="center" w:pos="4419"/>
        <w:tab w:val="right" w:pos="8838"/>
      </w:tabs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CB86" w14:textId="77777777" w:rsidR="00D031F9" w:rsidRDefault="00D031F9">
      <w:pPr>
        <w:spacing w:after="0" w:line="240" w:lineRule="auto"/>
      </w:pPr>
      <w:r>
        <w:separator/>
      </w:r>
    </w:p>
  </w:footnote>
  <w:footnote w:type="continuationSeparator" w:id="0">
    <w:p w14:paraId="5D58EBED" w14:textId="77777777" w:rsidR="00D031F9" w:rsidRDefault="00D0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D74D1" w14:textId="05B2F415" w:rsidR="009665D2" w:rsidRDefault="009665D2">
    <w:pPr>
      <w:pStyle w:val="Header"/>
    </w:pPr>
    <w:r>
      <w:rPr>
        <w:noProof/>
        <w:lang w:val="en-US" w:eastAsia="en-US"/>
      </w:rPr>
      <w:drawing>
        <wp:inline distT="0" distB="0" distL="0" distR="0" wp14:anchorId="753E9634" wp14:editId="5A3B9F45">
          <wp:extent cx="2426297" cy="1133536"/>
          <wp:effectExtent l="0" t="0" r="1270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885" cy="113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4CD"/>
    <w:multiLevelType w:val="hybridMultilevel"/>
    <w:tmpl w:val="72F230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7A3"/>
    <w:multiLevelType w:val="hybridMultilevel"/>
    <w:tmpl w:val="9EE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7530"/>
    <w:multiLevelType w:val="hybridMultilevel"/>
    <w:tmpl w:val="01D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542D"/>
    <w:multiLevelType w:val="hybridMultilevel"/>
    <w:tmpl w:val="204A0778"/>
    <w:lvl w:ilvl="0" w:tplc="EE1438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1D01"/>
    <w:multiLevelType w:val="hybridMultilevel"/>
    <w:tmpl w:val="C528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A6FAD"/>
    <w:multiLevelType w:val="hybridMultilevel"/>
    <w:tmpl w:val="2E4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55BAB"/>
    <w:multiLevelType w:val="hybridMultilevel"/>
    <w:tmpl w:val="FD06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7B5D"/>
    <w:multiLevelType w:val="hybridMultilevel"/>
    <w:tmpl w:val="D438E810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1AC2A0A"/>
    <w:multiLevelType w:val="hybridMultilevel"/>
    <w:tmpl w:val="ECD2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F2A01"/>
    <w:multiLevelType w:val="hybridMultilevel"/>
    <w:tmpl w:val="6B9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D77DE"/>
    <w:multiLevelType w:val="hybridMultilevel"/>
    <w:tmpl w:val="C69CC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2358F"/>
    <w:multiLevelType w:val="hybridMultilevel"/>
    <w:tmpl w:val="E3920B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2BC2AA9"/>
    <w:multiLevelType w:val="hybridMultilevel"/>
    <w:tmpl w:val="BC90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9432A"/>
    <w:multiLevelType w:val="hybridMultilevel"/>
    <w:tmpl w:val="E884A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C5CC5"/>
    <w:multiLevelType w:val="hybridMultilevel"/>
    <w:tmpl w:val="79089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02A8"/>
    <w:multiLevelType w:val="hybridMultilevel"/>
    <w:tmpl w:val="0B285C08"/>
    <w:lvl w:ilvl="0" w:tplc="EE1438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A2287"/>
    <w:multiLevelType w:val="hybridMultilevel"/>
    <w:tmpl w:val="B6BE19B6"/>
    <w:lvl w:ilvl="0" w:tplc="EE1438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C48A3"/>
    <w:multiLevelType w:val="hybridMultilevel"/>
    <w:tmpl w:val="B8901BA2"/>
    <w:lvl w:ilvl="0" w:tplc="EE1438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47B1"/>
    <w:multiLevelType w:val="hybridMultilevel"/>
    <w:tmpl w:val="28721218"/>
    <w:lvl w:ilvl="0" w:tplc="EE143810">
      <w:start w:val="1"/>
      <w:numFmt w:val="bullet"/>
      <w:lvlText w:val=""/>
      <w:lvlJc w:val="left"/>
      <w:pPr>
        <w:ind w:left="11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D"/>
    <w:rsid w:val="000104D8"/>
    <w:rsid w:val="00021F5B"/>
    <w:rsid w:val="00022E09"/>
    <w:rsid w:val="0002390E"/>
    <w:rsid w:val="00025FBC"/>
    <w:rsid w:val="000372DD"/>
    <w:rsid w:val="000524AA"/>
    <w:rsid w:val="00054399"/>
    <w:rsid w:val="00063788"/>
    <w:rsid w:val="00067E67"/>
    <w:rsid w:val="000759C7"/>
    <w:rsid w:val="00093682"/>
    <w:rsid w:val="00096C76"/>
    <w:rsid w:val="000A7B46"/>
    <w:rsid w:val="000B0C4E"/>
    <w:rsid w:val="000B3BD0"/>
    <w:rsid w:val="000B4EB9"/>
    <w:rsid w:val="000C0A7D"/>
    <w:rsid w:val="000C42DC"/>
    <w:rsid w:val="000F2D07"/>
    <w:rsid w:val="001137D2"/>
    <w:rsid w:val="0012607A"/>
    <w:rsid w:val="00132ACA"/>
    <w:rsid w:val="0013347D"/>
    <w:rsid w:val="00136A47"/>
    <w:rsid w:val="00160E95"/>
    <w:rsid w:val="0017691A"/>
    <w:rsid w:val="001815C0"/>
    <w:rsid w:val="00184ECA"/>
    <w:rsid w:val="001A72EF"/>
    <w:rsid w:val="001B3624"/>
    <w:rsid w:val="001C3D62"/>
    <w:rsid w:val="001C7BCD"/>
    <w:rsid w:val="001F043F"/>
    <w:rsid w:val="001F38E3"/>
    <w:rsid w:val="00204872"/>
    <w:rsid w:val="0021621E"/>
    <w:rsid w:val="00217A90"/>
    <w:rsid w:val="00221575"/>
    <w:rsid w:val="00242027"/>
    <w:rsid w:val="00245E20"/>
    <w:rsid w:val="00246652"/>
    <w:rsid w:val="00267951"/>
    <w:rsid w:val="00270668"/>
    <w:rsid w:val="00271BA6"/>
    <w:rsid w:val="00277144"/>
    <w:rsid w:val="00286ED1"/>
    <w:rsid w:val="00291022"/>
    <w:rsid w:val="002A1D72"/>
    <w:rsid w:val="002A2C96"/>
    <w:rsid w:val="002A61BC"/>
    <w:rsid w:val="002A660B"/>
    <w:rsid w:val="002B1BFC"/>
    <w:rsid w:val="002B20A8"/>
    <w:rsid w:val="002F52AD"/>
    <w:rsid w:val="00303396"/>
    <w:rsid w:val="00307AE5"/>
    <w:rsid w:val="00311B29"/>
    <w:rsid w:val="00327ACE"/>
    <w:rsid w:val="00332293"/>
    <w:rsid w:val="00343377"/>
    <w:rsid w:val="0034377F"/>
    <w:rsid w:val="003471A6"/>
    <w:rsid w:val="00352375"/>
    <w:rsid w:val="00352B6F"/>
    <w:rsid w:val="003634D8"/>
    <w:rsid w:val="00373BEA"/>
    <w:rsid w:val="003743B0"/>
    <w:rsid w:val="00383600"/>
    <w:rsid w:val="00383C27"/>
    <w:rsid w:val="00384062"/>
    <w:rsid w:val="003956DF"/>
    <w:rsid w:val="00395E78"/>
    <w:rsid w:val="003970D5"/>
    <w:rsid w:val="003B0CFF"/>
    <w:rsid w:val="003B2781"/>
    <w:rsid w:val="003B2B3F"/>
    <w:rsid w:val="003C424C"/>
    <w:rsid w:val="003E3F79"/>
    <w:rsid w:val="003F1A62"/>
    <w:rsid w:val="003F69B0"/>
    <w:rsid w:val="003F7D48"/>
    <w:rsid w:val="0041188B"/>
    <w:rsid w:val="004140E1"/>
    <w:rsid w:val="004342F3"/>
    <w:rsid w:val="00444235"/>
    <w:rsid w:val="00444E08"/>
    <w:rsid w:val="00454669"/>
    <w:rsid w:val="004550FF"/>
    <w:rsid w:val="00457605"/>
    <w:rsid w:val="004601BF"/>
    <w:rsid w:val="00471591"/>
    <w:rsid w:val="00483711"/>
    <w:rsid w:val="00490842"/>
    <w:rsid w:val="004A7F3E"/>
    <w:rsid w:val="004C71F1"/>
    <w:rsid w:val="004D0867"/>
    <w:rsid w:val="00500649"/>
    <w:rsid w:val="00512730"/>
    <w:rsid w:val="005136B2"/>
    <w:rsid w:val="00515352"/>
    <w:rsid w:val="00515B91"/>
    <w:rsid w:val="00517265"/>
    <w:rsid w:val="005205D1"/>
    <w:rsid w:val="00520B02"/>
    <w:rsid w:val="0052157A"/>
    <w:rsid w:val="00521746"/>
    <w:rsid w:val="005270B3"/>
    <w:rsid w:val="00532981"/>
    <w:rsid w:val="00537FBD"/>
    <w:rsid w:val="00582A35"/>
    <w:rsid w:val="00586B56"/>
    <w:rsid w:val="005952F4"/>
    <w:rsid w:val="005C0D6E"/>
    <w:rsid w:val="005C4D53"/>
    <w:rsid w:val="005D2764"/>
    <w:rsid w:val="005E2DCD"/>
    <w:rsid w:val="005E4AD5"/>
    <w:rsid w:val="005F5368"/>
    <w:rsid w:val="005F65A5"/>
    <w:rsid w:val="00610FEF"/>
    <w:rsid w:val="00637C45"/>
    <w:rsid w:val="00647D15"/>
    <w:rsid w:val="00680358"/>
    <w:rsid w:val="00681147"/>
    <w:rsid w:val="006A4CFF"/>
    <w:rsid w:val="006B21A3"/>
    <w:rsid w:val="006B65AF"/>
    <w:rsid w:val="006C26CF"/>
    <w:rsid w:val="006C50E3"/>
    <w:rsid w:val="006E07A9"/>
    <w:rsid w:val="00701E3B"/>
    <w:rsid w:val="007226E4"/>
    <w:rsid w:val="00722E12"/>
    <w:rsid w:val="00731D3F"/>
    <w:rsid w:val="007400F1"/>
    <w:rsid w:val="00740405"/>
    <w:rsid w:val="007444F4"/>
    <w:rsid w:val="00751DFF"/>
    <w:rsid w:val="007575D3"/>
    <w:rsid w:val="00760C25"/>
    <w:rsid w:val="00775D43"/>
    <w:rsid w:val="007923D8"/>
    <w:rsid w:val="00795BEB"/>
    <w:rsid w:val="007A12E0"/>
    <w:rsid w:val="007A2C7D"/>
    <w:rsid w:val="007C0F2A"/>
    <w:rsid w:val="007D2AD7"/>
    <w:rsid w:val="007D407E"/>
    <w:rsid w:val="007D5F0F"/>
    <w:rsid w:val="007D7054"/>
    <w:rsid w:val="007E20BC"/>
    <w:rsid w:val="007F765E"/>
    <w:rsid w:val="00805620"/>
    <w:rsid w:val="00807087"/>
    <w:rsid w:val="00820F39"/>
    <w:rsid w:val="00852426"/>
    <w:rsid w:val="00873A21"/>
    <w:rsid w:val="008752F9"/>
    <w:rsid w:val="0088085E"/>
    <w:rsid w:val="00886876"/>
    <w:rsid w:val="00887CD6"/>
    <w:rsid w:val="00890F53"/>
    <w:rsid w:val="0089245F"/>
    <w:rsid w:val="0089491F"/>
    <w:rsid w:val="008A1041"/>
    <w:rsid w:val="008C6676"/>
    <w:rsid w:val="008E206D"/>
    <w:rsid w:val="008E6B9E"/>
    <w:rsid w:val="008F5F58"/>
    <w:rsid w:val="0090640F"/>
    <w:rsid w:val="0092039E"/>
    <w:rsid w:val="0092625D"/>
    <w:rsid w:val="009270ED"/>
    <w:rsid w:val="00940DCE"/>
    <w:rsid w:val="00952D92"/>
    <w:rsid w:val="00954E37"/>
    <w:rsid w:val="00957612"/>
    <w:rsid w:val="009665D2"/>
    <w:rsid w:val="00966D70"/>
    <w:rsid w:val="00971BFB"/>
    <w:rsid w:val="00983E4B"/>
    <w:rsid w:val="00987698"/>
    <w:rsid w:val="0099265A"/>
    <w:rsid w:val="009A2DD7"/>
    <w:rsid w:val="009B1DFB"/>
    <w:rsid w:val="009C0C5D"/>
    <w:rsid w:val="009E33C6"/>
    <w:rsid w:val="00A13F15"/>
    <w:rsid w:val="00A17F1B"/>
    <w:rsid w:val="00A17F79"/>
    <w:rsid w:val="00A27903"/>
    <w:rsid w:val="00A4106D"/>
    <w:rsid w:val="00A4539E"/>
    <w:rsid w:val="00A50CAC"/>
    <w:rsid w:val="00A573B6"/>
    <w:rsid w:val="00A62EBF"/>
    <w:rsid w:val="00A632B1"/>
    <w:rsid w:val="00A94BBC"/>
    <w:rsid w:val="00AA0D73"/>
    <w:rsid w:val="00AA56D2"/>
    <w:rsid w:val="00AB7157"/>
    <w:rsid w:val="00AB7994"/>
    <w:rsid w:val="00AB7A2A"/>
    <w:rsid w:val="00AC1BA5"/>
    <w:rsid w:val="00AE15B8"/>
    <w:rsid w:val="00AE5E1F"/>
    <w:rsid w:val="00AF13EB"/>
    <w:rsid w:val="00B03695"/>
    <w:rsid w:val="00B33276"/>
    <w:rsid w:val="00B370D1"/>
    <w:rsid w:val="00B436B9"/>
    <w:rsid w:val="00B53261"/>
    <w:rsid w:val="00B908FB"/>
    <w:rsid w:val="00BA4FD6"/>
    <w:rsid w:val="00BA650F"/>
    <w:rsid w:val="00BB3111"/>
    <w:rsid w:val="00BB671A"/>
    <w:rsid w:val="00BC2D4F"/>
    <w:rsid w:val="00BC52D3"/>
    <w:rsid w:val="00BE211B"/>
    <w:rsid w:val="00BE7930"/>
    <w:rsid w:val="00BF05AC"/>
    <w:rsid w:val="00BF23A0"/>
    <w:rsid w:val="00BF54AB"/>
    <w:rsid w:val="00C00D1B"/>
    <w:rsid w:val="00C12949"/>
    <w:rsid w:val="00C31F21"/>
    <w:rsid w:val="00C321F4"/>
    <w:rsid w:val="00C41A71"/>
    <w:rsid w:val="00C51243"/>
    <w:rsid w:val="00C54DDA"/>
    <w:rsid w:val="00C578E6"/>
    <w:rsid w:val="00C711F4"/>
    <w:rsid w:val="00C7587D"/>
    <w:rsid w:val="00C77447"/>
    <w:rsid w:val="00C775F6"/>
    <w:rsid w:val="00C77983"/>
    <w:rsid w:val="00C77F34"/>
    <w:rsid w:val="00CB3F1F"/>
    <w:rsid w:val="00CB79E7"/>
    <w:rsid w:val="00CD0E61"/>
    <w:rsid w:val="00CD7BD3"/>
    <w:rsid w:val="00CF2A7D"/>
    <w:rsid w:val="00D031F9"/>
    <w:rsid w:val="00D05A7E"/>
    <w:rsid w:val="00D06F6B"/>
    <w:rsid w:val="00D166E0"/>
    <w:rsid w:val="00D204F5"/>
    <w:rsid w:val="00D67BA7"/>
    <w:rsid w:val="00D934A5"/>
    <w:rsid w:val="00DA1B0E"/>
    <w:rsid w:val="00DA7826"/>
    <w:rsid w:val="00DB3680"/>
    <w:rsid w:val="00DB5FCC"/>
    <w:rsid w:val="00DD0D16"/>
    <w:rsid w:val="00DD69A9"/>
    <w:rsid w:val="00DD76E5"/>
    <w:rsid w:val="00DE464D"/>
    <w:rsid w:val="00E05D7E"/>
    <w:rsid w:val="00E31B49"/>
    <w:rsid w:val="00E83C65"/>
    <w:rsid w:val="00E929F4"/>
    <w:rsid w:val="00E92B3A"/>
    <w:rsid w:val="00E942CF"/>
    <w:rsid w:val="00EA262B"/>
    <w:rsid w:val="00EA62EC"/>
    <w:rsid w:val="00EB1EBC"/>
    <w:rsid w:val="00EE02A6"/>
    <w:rsid w:val="00EF25D6"/>
    <w:rsid w:val="00EF74A1"/>
    <w:rsid w:val="00F03F17"/>
    <w:rsid w:val="00F1422B"/>
    <w:rsid w:val="00F15190"/>
    <w:rsid w:val="00F17638"/>
    <w:rsid w:val="00F36032"/>
    <w:rsid w:val="00F366E5"/>
    <w:rsid w:val="00F431CD"/>
    <w:rsid w:val="00F57C7E"/>
    <w:rsid w:val="00F61118"/>
    <w:rsid w:val="00F6542D"/>
    <w:rsid w:val="00F678D4"/>
    <w:rsid w:val="00F72D12"/>
    <w:rsid w:val="00F95743"/>
    <w:rsid w:val="00FB3439"/>
    <w:rsid w:val="00FB48DC"/>
    <w:rsid w:val="00FD0AEC"/>
    <w:rsid w:val="00FD140B"/>
    <w:rsid w:val="00FD2C47"/>
    <w:rsid w:val="00FD3580"/>
    <w:rsid w:val="00FF38E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AE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A2FF"/>
    </w:tcPr>
  </w:style>
  <w:style w:type="table" w:customStyle="1" w:styleId="a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A2FF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D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8085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85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8085E"/>
    <w:rPr>
      <w:vertAlign w:val="superscript"/>
    </w:rPr>
  </w:style>
  <w:style w:type="table" w:styleId="TableGrid">
    <w:name w:val="Table Grid"/>
    <w:basedOn w:val="TableNormal"/>
    <w:uiPriority w:val="59"/>
    <w:rsid w:val="00EF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0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6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F57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7E"/>
  </w:style>
  <w:style w:type="paragraph" w:styleId="Footer">
    <w:name w:val="footer"/>
    <w:basedOn w:val="Normal"/>
    <w:link w:val="FooterChar"/>
    <w:uiPriority w:val="99"/>
    <w:unhideWhenUsed/>
    <w:rsid w:val="00F57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7E"/>
  </w:style>
  <w:style w:type="paragraph" w:customStyle="1" w:styleId="Estilodetabla2">
    <w:name w:val="Estilo de tabla 2"/>
    <w:rsid w:val="00EE02A6"/>
    <w:pPr>
      <w:pBdr>
        <w:bar w:val="nil"/>
      </w:pBdr>
      <w:spacing w:after="0" w:line="240" w:lineRule="auto"/>
    </w:pPr>
    <w:rPr>
      <w:rFonts w:ascii="Helvetica Neue" w:eastAsia="Arial Unicode MS" w:hAnsi="Helvetica Neue" w:cs="Arial Unicode MS"/>
      <w:sz w:val="20"/>
      <w:szCs w:val="20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A2FF"/>
    </w:tcPr>
  </w:style>
  <w:style w:type="table" w:customStyle="1" w:styleId="a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A2FF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D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8085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85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8085E"/>
    <w:rPr>
      <w:vertAlign w:val="superscript"/>
    </w:rPr>
  </w:style>
  <w:style w:type="table" w:styleId="TableGrid">
    <w:name w:val="Table Grid"/>
    <w:basedOn w:val="TableNormal"/>
    <w:uiPriority w:val="59"/>
    <w:rsid w:val="00EF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0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6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F57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7E"/>
  </w:style>
  <w:style w:type="paragraph" w:styleId="Footer">
    <w:name w:val="footer"/>
    <w:basedOn w:val="Normal"/>
    <w:link w:val="FooterChar"/>
    <w:uiPriority w:val="99"/>
    <w:unhideWhenUsed/>
    <w:rsid w:val="00F57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7E"/>
  </w:style>
  <w:style w:type="paragraph" w:customStyle="1" w:styleId="Estilodetabla2">
    <w:name w:val="Estilo de tabla 2"/>
    <w:rsid w:val="00EE02A6"/>
    <w:pPr>
      <w:pBdr>
        <w:bar w:val="nil"/>
      </w:pBdr>
      <w:spacing w:after="0" w:line="240" w:lineRule="auto"/>
    </w:pPr>
    <w:rPr>
      <w:rFonts w:ascii="Helvetica Neue" w:eastAsia="Arial Unicode MS" w:hAnsi="Helvetica Neue" w:cs="Arial Unicode MS"/>
      <w:sz w:val="20"/>
      <w:szCs w:val="2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73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1E1E1"/>
          </w:divBdr>
          <w:divsChild>
            <w:div w:id="18351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87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804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1E1E1"/>
          </w:divBdr>
          <w:divsChild>
            <w:div w:id="584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5565D-B2EE-3F46-BCC7-1D8CE53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JIB JIB</cp:lastModifiedBy>
  <cp:revision>3</cp:revision>
  <cp:lastPrinted>2019-02-22T17:50:00Z</cp:lastPrinted>
  <dcterms:created xsi:type="dcterms:W3CDTF">2019-05-03T20:44:00Z</dcterms:created>
  <dcterms:modified xsi:type="dcterms:W3CDTF">2019-05-03T20:46:00Z</dcterms:modified>
</cp:coreProperties>
</file>